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E3411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bookmarkStart w:id="0" w:name="_Hlk42780426"/>
      <w:r w:rsidRPr="00674876">
        <w:rPr>
          <w:rFonts w:cs="Arial"/>
          <w:sz w:val="14"/>
          <w:szCs w:val="16"/>
        </w:rPr>
        <w:t xml:space="preserve">En Bogotá D.C., a los _____ días del mes de ____ </w:t>
      </w:r>
      <w:proofErr w:type="spellStart"/>
      <w:r w:rsidRPr="00674876">
        <w:rPr>
          <w:rFonts w:cs="Arial"/>
          <w:sz w:val="14"/>
          <w:szCs w:val="16"/>
        </w:rPr>
        <w:t>de</w:t>
      </w:r>
      <w:proofErr w:type="spellEnd"/>
      <w:r w:rsidRPr="00674876">
        <w:rPr>
          <w:rFonts w:cs="Arial"/>
          <w:sz w:val="14"/>
          <w:szCs w:val="16"/>
        </w:rPr>
        <w:t xml:space="preserve"> dos mil ____ (__), el (Director Sectoria</w:t>
      </w:r>
      <w:r w:rsidR="00346462">
        <w:rPr>
          <w:rFonts w:cs="Arial"/>
          <w:sz w:val="14"/>
          <w:szCs w:val="16"/>
        </w:rPr>
        <w:t>l</w:t>
      </w:r>
      <w:r w:rsidR="00756493">
        <w:rPr>
          <w:rFonts w:cs="Arial"/>
          <w:sz w:val="14"/>
          <w:szCs w:val="16"/>
        </w:rPr>
        <w:t>,</w:t>
      </w:r>
      <w:r w:rsidR="00756493">
        <w:rPr>
          <w:rFonts w:cs="Arial"/>
          <w:spacing w:val="-3"/>
          <w:sz w:val="14"/>
          <w:szCs w:val="16"/>
        </w:rPr>
        <w:t xml:space="preserve"> Subdirector de Fiscalización, </w:t>
      </w:r>
      <w:r w:rsidR="00756493" w:rsidRPr="00756493">
        <w:rPr>
          <w:rFonts w:cs="Arial"/>
          <w:spacing w:val="-3"/>
          <w:sz w:val="14"/>
          <w:szCs w:val="16"/>
        </w:rPr>
        <w:t>Subdirector de Gestión Local</w:t>
      </w:r>
      <w:r w:rsidRPr="00674876">
        <w:rPr>
          <w:rFonts w:cs="Arial"/>
          <w:spacing w:val="-3"/>
          <w:sz w:val="14"/>
          <w:szCs w:val="16"/>
        </w:rPr>
        <w:t xml:space="preserve"> </w:t>
      </w:r>
      <w:r w:rsidR="00723E40">
        <w:rPr>
          <w:rFonts w:cs="Arial"/>
          <w:spacing w:val="-3"/>
          <w:sz w:val="14"/>
          <w:szCs w:val="16"/>
        </w:rPr>
        <w:t xml:space="preserve">y/o </w:t>
      </w:r>
      <w:r w:rsidR="00723E40" w:rsidRPr="00674876">
        <w:rPr>
          <w:rFonts w:cs="Arial"/>
          <w:sz w:val="14"/>
          <w:szCs w:val="16"/>
        </w:rPr>
        <w:t>D</w:t>
      </w:r>
      <w:r w:rsidR="00723E40" w:rsidRPr="00674876">
        <w:rPr>
          <w:rFonts w:cs="Arial"/>
          <w:spacing w:val="-3"/>
          <w:sz w:val="14"/>
          <w:szCs w:val="16"/>
        </w:rPr>
        <w:t xml:space="preserve">irector de Reacción Inmediata </w:t>
      </w:r>
      <w:r w:rsidRPr="00674876">
        <w:rPr>
          <w:rFonts w:cs="Arial"/>
          <w:spacing w:val="-3"/>
          <w:sz w:val="14"/>
          <w:szCs w:val="16"/>
        </w:rPr>
        <w:t>según corresponda</w:t>
      </w:r>
      <w:r w:rsidRPr="00674876">
        <w:rPr>
          <w:rFonts w:cs="Arial"/>
          <w:sz w:val="14"/>
          <w:szCs w:val="16"/>
        </w:rPr>
        <w:t xml:space="preserve">), en desarrollo de las atribuciones conferidas por los artículos 268 y 272 de la Constitución Política de Colombia, modificado por el Acto Legislativo 04 de 2019, 109 del Decreto Ley 1421 de 1993, (citar en lo pertinente según corresponda) </w:t>
      </w:r>
      <w:r w:rsidRPr="00674876">
        <w:rPr>
          <w:rFonts w:cs="Arial"/>
          <w:bCs/>
          <w:sz w:val="14"/>
          <w:szCs w:val="16"/>
        </w:rPr>
        <w:t xml:space="preserve">artículos 29, 47,48 49 y 50 </w:t>
      </w:r>
      <w:r w:rsidRPr="00674876">
        <w:rPr>
          <w:rFonts w:cs="Arial"/>
          <w:sz w:val="14"/>
          <w:szCs w:val="16"/>
        </w:rPr>
        <w:t xml:space="preserve">del Acuerdo N° 658 de 2016 modificado por el Acuerdo 664 de 2017, </w:t>
      </w:r>
      <w:r w:rsidR="001A77F5">
        <w:rPr>
          <w:rFonts w:cs="Arial"/>
          <w:sz w:val="14"/>
          <w:szCs w:val="16"/>
        </w:rPr>
        <w:t>y la resolución de competencia</w:t>
      </w:r>
      <w:r w:rsidR="00217D0C">
        <w:rPr>
          <w:rFonts w:cs="Arial"/>
          <w:sz w:val="14"/>
          <w:szCs w:val="16"/>
        </w:rPr>
        <w:t xml:space="preserve"> correspondiente </w:t>
      </w:r>
      <w:r w:rsidR="001A77F5">
        <w:rPr>
          <w:rFonts w:cs="Arial"/>
          <w:sz w:val="14"/>
          <w:szCs w:val="16"/>
        </w:rPr>
        <w:t xml:space="preserve"> (vigente), pr</w:t>
      </w:r>
      <w:r w:rsidRPr="00674876">
        <w:rPr>
          <w:rFonts w:cs="Arial"/>
          <w:sz w:val="14"/>
          <w:szCs w:val="16"/>
        </w:rPr>
        <w:t>ocede a dictar auto de apertura de Indagación Preliminar, por el manejo de recursos de la ____ (nombre completo de la Entidad afectada) ____, ____ (naturaleza jurídica de la Entidad) ____, ____ cargo de quien lleva la representación de la Entidad ____y nombre del actual titular de ese cargo ____), teniendo en cuenta los siguientes (verificar vigencia de normatividad en el momento de expedir el auto de apertura).</w:t>
      </w:r>
      <w:bookmarkStart w:id="1" w:name="_GoBack"/>
      <w:bookmarkEnd w:id="1"/>
    </w:p>
    <w:p w14:paraId="1E901651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</w:p>
    <w:p w14:paraId="18B4E65D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ANTECEDENTES</w:t>
      </w:r>
    </w:p>
    <w:p w14:paraId="6EF64C75" w14:textId="77777777" w:rsidR="00B44512" w:rsidRPr="00674876" w:rsidRDefault="00B44512" w:rsidP="006553D6">
      <w:pPr>
        <w:jc w:val="both"/>
        <w:rPr>
          <w:rFonts w:cs="Arial"/>
          <w:b/>
          <w:sz w:val="14"/>
          <w:szCs w:val="16"/>
        </w:rPr>
      </w:pPr>
    </w:p>
    <w:p w14:paraId="79E01A10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(Describir la fuente de la información que constituye el objeto de la Indagación, es decir la historia o recorrido que tuvo el Antecedente- Auditoría, Denuncia o Queja, Actuación Especial o Aplicación de cualquiera de los sistemas de control- y cómo llegó a la dependencia de conocimiento y trámite).</w:t>
      </w:r>
    </w:p>
    <w:p w14:paraId="2554D7DE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</w:p>
    <w:p w14:paraId="42EA2375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Señalar que la citada información no da certeza sobre ----- (referir el o los presupuestos señalados por el artículo 135 del Decreto Ley 403 de 2020 que modifica Artículo 39 de la Ley 610 de 2000, y que justifican dar trámite a la Indagación Preliminar –ocurrencia del hecho, causación del daño patrimonial, entidad afectada, determinación de los presuntos responsables), razón por la cual habrá de ordenarse el trámite de Indagación Preliminar.</w:t>
      </w:r>
    </w:p>
    <w:p w14:paraId="2B5F281B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</w:p>
    <w:p w14:paraId="7C925D29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FUNDAMENTOS DE DERECHO</w:t>
      </w:r>
    </w:p>
    <w:p w14:paraId="160CE76E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</w:p>
    <w:p w14:paraId="0817326B" w14:textId="77777777" w:rsidR="00B44512" w:rsidRPr="00674876" w:rsidRDefault="00B44512" w:rsidP="006553D6">
      <w:p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Como fundamentos de derecho, se invocan las siguientes normas:</w:t>
      </w:r>
    </w:p>
    <w:p w14:paraId="7CF5E2F9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00115BD4" w14:textId="77777777" w:rsidR="00B44512" w:rsidRPr="00674876" w:rsidRDefault="00B44512" w:rsidP="006553D6">
      <w:pPr>
        <w:numPr>
          <w:ilvl w:val="0"/>
          <w:numId w:val="6"/>
        </w:num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Artículos 267, 268 numeral 5º y 271 de la Constitución Política de Colombia, modificado por el Acto legislativo 04 de 2019.</w:t>
      </w:r>
    </w:p>
    <w:p w14:paraId="34FC80C0" w14:textId="77777777" w:rsidR="00B44512" w:rsidRPr="00674876" w:rsidRDefault="00B44512" w:rsidP="006553D6">
      <w:pPr>
        <w:numPr>
          <w:ilvl w:val="0"/>
          <w:numId w:val="6"/>
        </w:num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Artículo 39 de la Ley 610 de 2000, modificado con el artículo 135 del Decreto 403 del 2020.</w:t>
      </w:r>
    </w:p>
    <w:p w14:paraId="55E40A16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2863C848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HECHOS PRESUNTAMENTE IRREGULARES</w:t>
      </w:r>
    </w:p>
    <w:p w14:paraId="17074747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</w:p>
    <w:p w14:paraId="0D462F76" w14:textId="77777777" w:rsidR="00B44512" w:rsidRPr="00674876" w:rsidRDefault="00B44512" w:rsidP="006553D6">
      <w:p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 xml:space="preserve">Los hechos objeto del presunto reproche fiscal se enmarcan o circunscriben en lo siguiente: </w:t>
      </w:r>
    </w:p>
    <w:p w14:paraId="58976BFA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441632CE" w14:textId="77777777" w:rsidR="00B44512" w:rsidRPr="00674876" w:rsidRDefault="00B44512" w:rsidP="006553D6">
      <w:p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(Descripción fáctica que menciona el hecho irregular identificado).</w:t>
      </w:r>
    </w:p>
    <w:p w14:paraId="22A7F2A3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20141CFA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(Es necesario tener en cuenta lo dispuesto en los artículos 10, 22, 25 y 29 de la Ley 610 de 2000, en consonancia con lo señalado en los artículos 114, 115 y 116 de la Ley 1474 de 2011 y demás normas concordantes).</w:t>
      </w:r>
    </w:p>
    <w:p w14:paraId="3EA85A6B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5BA18C2B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CONSIDERACIONES DEL DESPACHO</w:t>
      </w:r>
    </w:p>
    <w:p w14:paraId="5F8B2A88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</w:p>
    <w:p w14:paraId="78EB863C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(El objeto de abrir una indagación preliminar es que el operador jurídico determine y averigüe si el hecho descrito en el antecedente existió, si originó daño patrimonial al Estado y quiénes fueron sus autores, precisando su participación como gestores fiscales o con ocasión de la gestión fiscal).</w:t>
      </w:r>
    </w:p>
    <w:p w14:paraId="7E899C09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0034095F" w14:textId="77777777" w:rsidR="00B44512" w:rsidRPr="00674876" w:rsidRDefault="00B44512" w:rsidP="006553D6">
      <w:pPr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(Tener en cuenta lo señalado en el artículo 9º de la Ley 610 de 2000 modificado con el artículo 127 del Decreto 403 de 2020).</w:t>
      </w:r>
    </w:p>
    <w:p w14:paraId="67583DFA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3F4E9011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En el presente asunto los presuntos hechos irregulares acontecieron el día ___________________, por tanto, el fenómeno jurídico de la caducidad de la acción fiscal no se presenta por el momento, porque_____________________________ (se contabiliza la caducidad desde la ocurrencia del presunto hecho irregular que se considera causó daño al patrimonio público).</w:t>
      </w:r>
    </w:p>
    <w:p w14:paraId="43F9A1C9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</w:p>
    <w:p w14:paraId="5AC06C0B" w14:textId="77777777" w:rsidR="00B44512" w:rsidRPr="00674876" w:rsidRDefault="00B44512" w:rsidP="006553D6">
      <w:pPr>
        <w:jc w:val="both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Conforme a las consideraciones precedentes, la (dependencia competente) de la Contraloría de Bogotá, D.C.)</w:t>
      </w:r>
    </w:p>
    <w:p w14:paraId="22FDBB8A" w14:textId="77777777" w:rsidR="009153CF" w:rsidRPr="00674876" w:rsidRDefault="009153CF" w:rsidP="006553D6">
      <w:pPr>
        <w:rPr>
          <w:rFonts w:cs="Arial"/>
          <w:sz w:val="14"/>
          <w:szCs w:val="16"/>
        </w:rPr>
      </w:pPr>
    </w:p>
    <w:p w14:paraId="7B1052EE" w14:textId="77777777" w:rsidR="00B44512" w:rsidRPr="00674876" w:rsidRDefault="00B44512" w:rsidP="006553D6">
      <w:pPr>
        <w:jc w:val="center"/>
        <w:rPr>
          <w:rFonts w:cs="Arial"/>
          <w:sz w:val="14"/>
          <w:szCs w:val="16"/>
        </w:rPr>
      </w:pPr>
      <w:r w:rsidRPr="00674876">
        <w:rPr>
          <w:rFonts w:cs="Arial"/>
          <w:sz w:val="14"/>
          <w:szCs w:val="16"/>
        </w:rPr>
        <w:t>DE LOS MEDIOS PROBATORIOS:</w:t>
      </w:r>
    </w:p>
    <w:p w14:paraId="3C4A5E56" w14:textId="77777777" w:rsidR="00B44512" w:rsidRPr="00674876" w:rsidRDefault="00B44512" w:rsidP="006553D6">
      <w:pPr>
        <w:rPr>
          <w:rFonts w:cs="Arial"/>
          <w:sz w:val="14"/>
          <w:szCs w:val="16"/>
        </w:rPr>
      </w:pPr>
    </w:p>
    <w:p w14:paraId="0C11D60C" w14:textId="77777777" w:rsidR="00B44512" w:rsidRPr="003B4DA3" w:rsidRDefault="00B44512" w:rsidP="006553D6">
      <w:pPr>
        <w:numPr>
          <w:ilvl w:val="0"/>
          <w:numId w:val="11"/>
        </w:num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 xml:space="preserve">Medios probatorios recolectados o allegados con el antecedente (denuncia o queja, hallazgo de auditoría, actuación especial, o aplicación de cualquiera de los métodos de control), los cuales se relacionan a continuación: </w:t>
      </w:r>
    </w:p>
    <w:p w14:paraId="234D44CE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66556062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Documentales: ___________________</w:t>
      </w:r>
    </w:p>
    <w:p w14:paraId="745F8FBA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Informe Técnico: ____________________</w:t>
      </w:r>
    </w:p>
    <w:p w14:paraId="1119C3A4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Visita Especial: ______________________</w:t>
      </w:r>
    </w:p>
    <w:p w14:paraId="247321CD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Testimonios: _______________________</w:t>
      </w:r>
    </w:p>
    <w:p w14:paraId="6FE48A4A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Otras: ____________________________</w:t>
      </w:r>
    </w:p>
    <w:p w14:paraId="2D9A2A67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0E596C17" w14:textId="77777777" w:rsidR="00B44512" w:rsidRPr="003B4DA3" w:rsidRDefault="00B44512" w:rsidP="006553D6">
      <w:pPr>
        <w:numPr>
          <w:ilvl w:val="0"/>
          <w:numId w:val="11"/>
        </w:num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Medios probatorios a decretar: Documentales, Visita Especial, Informe Técnico, peritazgo, testimonios, entre otros, de oficio o a petición de parte).</w:t>
      </w:r>
    </w:p>
    <w:p w14:paraId="17946A73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33C48B2E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(Es necesario justificar la conducencia, pertinencia y necesidad de cada uno de los medios probatorios a decretar, para esclarecer los hechos que dan origen a la indagación preliminar)</w:t>
      </w:r>
    </w:p>
    <w:p w14:paraId="161C2F8B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52589414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(Es necesario tener en cuenta lo dispuesto en los artículos 10, 22, 25 y 29 de la Ley 610 de 2000, en consonancia con lo señalado en los artículos 114, 115 y 116 de la Ley 1474 de 2011 y demás normas concordantes).</w:t>
      </w:r>
    </w:p>
    <w:p w14:paraId="2B35A007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43490170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CONSIDERACIONES DEL DESPACHO</w:t>
      </w:r>
    </w:p>
    <w:p w14:paraId="62C8F7CF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</w:p>
    <w:p w14:paraId="52D79D09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(El objeto de abrir una indagación preliminar es que el operador jurídico determine y averigüe si el hecho descrito en el antecedente existió, si originó daño patrimonial al Estado y quiénes fueron sus autores, precisando su participación como gestores fiscales o con ocasión de la gestión fiscal).</w:t>
      </w:r>
    </w:p>
    <w:p w14:paraId="34B03E22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684C6C5A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lastRenderedPageBreak/>
        <w:t>(Tener en cuenta lo señalado en el artículo 9º de la Ley 610 de 2000, modificado por el artículo 127 del Decreto 403 de 2020).</w:t>
      </w:r>
    </w:p>
    <w:p w14:paraId="56E595E8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40B4BD9F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En el presente asunto los presuntos hechos irregulares acontecieron el día ___________________, por tanto, el fenómeno jurídico de la caducidad de la acción fiscal no se presenta por el momento, porque_____________________________ (se contabiliza la caducidad desde la ocurrencia del presunto hecho irregular que se considera causó daño al patrimonio público).</w:t>
      </w:r>
    </w:p>
    <w:p w14:paraId="70DB5C84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2A793967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Conforme a las consideraciones precedentes, la (dependencia competente) de la Contraloría de Bogotá, D.C.)</w:t>
      </w:r>
    </w:p>
    <w:p w14:paraId="079BEB3B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039BDC80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R E S U E L V E:</w:t>
      </w:r>
    </w:p>
    <w:p w14:paraId="0D66D878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</w:p>
    <w:p w14:paraId="3D8B2F63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PRIMERO. Avocar el conocimiento de las presentes diligencias.</w:t>
      </w:r>
    </w:p>
    <w:p w14:paraId="1FA5C0DC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34E46DDF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SEGUNDO. Declarar abierta la Indagación Preliminar N° ____ (el número asignado en el Auto de asignación de competencia) --- en los términos señalados en la Ley 610 de 2000 y Decreto 403 de 2020 por el manejo de recursos de la_____ (nombre de la Entidad afectada) ---.</w:t>
      </w:r>
    </w:p>
    <w:p w14:paraId="3A57D576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56A4D45A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TERCERO. Incorporar y tener como medios de prueba, asignándoles el valor legal que en derecho corresponda, a los allegados dentro de las diligencias adelantadas en el antecedente (Según corresponda, hallazgo de auditoría, Denuncia o Queja, Actuación Especial) y relacionados en la parte motiva de esta providencia.</w:t>
      </w:r>
    </w:p>
    <w:p w14:paraId="0C735B49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4081CA26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CUARTO. Decretar y practicar los siguientes medios de prueba: (Documentales, visitas especiales, informes técnicos, testimoniales, peritazgo, entre otros).</w:t>
      </w:r>
    </w:p>
    <w:p w14:paraId="4E34EA59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5F0F2A4D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QUINTO. Comunicar la iniciación de la presente Indagación Preliminar al representante legal de la entidad afectada________________________ y/o dependencias objeto de las diligencias a efecto de que preste la debida colaboración y diligencia en la atención y respuesta de los requerimientos que surjan en desarrollo de la actuación administrativa.</w:t>
      </w:r>
    </w:p>
    <w:p w14:paraId="63D6C13C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40BFFEE7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SEXTO. Comisionar a la Profesional (…) o profesionales (…), para sustanciar la actuación y practicar las pruebas decretadas y las que se llegaren a decretar para el esclarecimiento de los hechos e impulso de la Indagación Preliminar.</w:t>
      </w:r>
    </w:p>
    <w:p w14:paraId="20A2B12C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1C73A2E1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 xml:space="preserve">SÉPTIMO. El </w:t>
      </w:r>
      <w:r w:rsidR="00531B9F">
        <w:rPr>
          <w:rFonts w:cs="Arial"/>
          <w:sz w:val="14"/>
          <w:szCs w:val="16"/>
        </w:rPr>
        <w:t>servidor</w:t>
      </w:r>
      <w:r w:rsidR="00531B9F" w:rsidRPr="00531B9F">
        <w:rPr>
          <w:rFonts w:cs="Arial"/>
          <w:sz w:val="14"/>
          <w:szCs w:val="16"/>
        </w:rPr>
        <w:t xml:space="preserve"> público </w:t>
      </w:r>
      <w:r w:rsidR="00531B9F">
        <w:rPr>
          <w:rFonts w:cs="Arial"/>
          <w:sz w:val="14"/>
          <w:szCs w:val="16"/>
        </w:rPr>
        <w:t xml:space="preserve">o los </w:t>
      </w:r>
      <w:r w:rsidR="00531B9F" w:rsidRPr="00531B9F">
        <w:rPr>
          <w:rFonts w:cs="Arial"/>
          <w:sz w:val="14"/>
          <w:szCs w:val="16"/>
        </w:rPr>
        <w:t>servidores público</w:t>
      </w:r>
      <w:r w:rsidR="00D75AA1">
        <w:rPr>
          <w:rFonts w:cs="Arial"/>
          <w:sz w:val="14"/>
          <w:szCs w:val="16"/>
        </w:rPr>
        <w:t>s</w:t>
      </w:r>
      <w:r w:rsidRPr="003B4DA3">
        <w:rPr>
          <w:rFonts w:cs="Arial"/>
          <w:sz w:val="14"/>
          <w:szCs w:val="16"/>
        </w:rPr>
        <w:t xml:space="preserve"> comisionado (s) queda (n) facultado (s) para trasladarse a la (s) entidad (es) en que deba (n) practicar pruebas y diligencias propias de la indagación, de las cuales quedará constancia en el expediente.</w:t>
      </w:r>
    </w:p>
    <w:p w14:paraId="1B3C4691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726BDE52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OCTAVO. Contra el presente proveído no procede recurso alguno.</w:t>
      </w:r>
    </w:p>
    <w:p w14:paraId="2F3CF217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50203166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NOVENO. Remitir copia de esta providencia a la Dirección Sectorial competente o Dirección de Reacción Inmediata, según corresponda.</w:t>
      </w:r>
    </w:p>
    <w:p w14:paraId="7E13F61C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 xml:space="preserve"> </w:t>
      </w:r>
    </w:p>
    <w:p w14:paraId="5ED58B21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41474DAD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COMUNÍQUESE O NOTIFÍQUESE Y CÚMPLASE</w:t>
      </w:r>
    </w:p>
    <w:p w14:paraId="677BB3C5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</w:p>
    <w:p w14:paraId="0FAC892D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(Firmas)</w:t>
      </w:r>
    </w:p>
    <w:p w14:paraId="69173972" w14:textId="77777777" w:rsidR="00B44512" w:rsidRPr="003B4DA3" w:rsidRDefault="00B44512" w:rsidP="006553D6">
      <w:pPr>
        <w:jc w:val="center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(Nombres y cargo del Directivo competente)</w:t>
      </w:r>
    </w:p>
    <w:p w14:paraId="3B03A9CC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1695D9B8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0DCE1CD2" w14:textId="77777777" w:rsidR="00B44512" w:rsidRPr="003B4DA3" w:rsidRDefault="00B44512" w:rsidP="006553D6">
      <w:pPr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Nombre completo de quien proyecta</w:t>
      </w:r>
    </w:p>
    <w:p w14:paraId="373467E0" w14:textId="77777777" w:rsidR="00B44512" w:rsidRPr="003B4DA3" w:rsidRDefault="00B44512" w:rsidP="006553D6">
      <w:pPr>
        <w:rPr>
          <w:rFonts w:cs="Arial"/>
          <w:sz w:val="14"/>
          <w:szCs w:val="16"/>
        </w:rPr>
      </w:pPr>
    </w:p>
    <w:p w14:paraId="7081D011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 xml:space="preserve">Nota: </w:t>
      </w:r>
    </w:p>
    <w:p w14:paraId="3F181842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>Cuando la información identifique la persona o personas que intervinieron por acción u omisión en la generación del daño patrimonial, se ordenará y efectuará la notificación personal del Auto de Apertura y en él se ordenará citarlos a rendir exposición libre.</w:t>
      </w:r>
    </w:p>
    <w:p w14:paraId="1A676E07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</w:p>
    <w:p w14:paraId="0CF4B20D" w14:textId="77777777" w:rsidR="00B44512" w:rsidRPr="003B4DA3" w:rsidRDefault="00B44512" w:rsidP="006553D6">
      <w:pPr>
        <w:jc w:val="both"/>
        <w:rPr>
          <w:rFonts w:cs="Arial"/>
          <w:sz w:val="14"/>
          <w:szCs w:val="16"/>
        </w:rPr>
      </w:pPr>
      <w:r w:rsidRPr="003B4DA3">
        <w:rPr>
          <w:rFonts w:cs="Arial"/>
          <w:sz w:val="14"/>
          <w:szCs w:val="16"/>
        </w:rPr>
        <w:t xml:space="preserve">Identificar el cargo de los </w:t>
      </w:r>
      <w:r w:rsidR="00C2319D" w:rsidRPr="00C2319D">
        <w:rPr>
          <w:rFonts w:cs="Arial"/>
          <w:sz w:val="14"/>
          <w:szCs w:val="16"/>
        </w:rPr>
        <w:t>servidores público</w:t>
      </w:r>
      <w:r w:rsidR="00C2319D">
        <w:rPr>
          <w:rFonts w:cs="Arial"/>
          <w:sz w:val="14"/>
          <w:szCs w:val="16"/>
        </w:rPr>
        <w:t>s</w:t>
      </w:r>
      <w:r w:rsidRPr="003B4DA3">
        <w:rPr>
          <w:rFonts w:cs="Arial"/>
          <w:sz w:val="14"/>
          <w:szCs w:val="16"/>
        </w:rPr>
        <w:t xml:space="preserve"> asignados para el trámite y para la orientación en caso de que en el auto de asignación de competencia se haya designado a este último.</w:t>
      </w:r>
    </w:p>
    <w:bookmarkEnd w:id="0"/>
    <w:p w14:paraId="1D165161" w14:textId="5937C9BE" w:rsidR="00B44512" w:rsidRPr="00991235" w:rsidRDefault="00B44512" w:rsidP="00FD5B99">
      <w:pPr>
        <w:jc w:val="both"/>
        <w:rPr>
          <w:rFonts w:cs="Arial"/>
          <w:b/>
          <w:sz w:val="16"/>
          <w:szCs w:val="16"/>
        </w:rPr>
      </w:pPr>
    </w:p>
    <w:p w14:paraId="7C3CABBC" w14:textId="77777777" w:rsidR="00166681" w:rsidRPr="00991235" w:rsidRDefault="00166681" w:rsidP="006553D6"/>
    <w:sectPr w:rsidR="00166681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6713E" w14:textId="77777777" w:rsidR="00B30A7E" w:rsidRDefault="00B30A7E" w:rsidP="00B44512">
      <w:r>
        <w:separator/>
      </w:r>
    </w:p>
  </w:endnote>
  <w:endnote w:type="continuationSeparator" w:id="0">
    <w:p w14:paraId="6DB1B823" w14:textId="77777777" w:rsidR="00B30A7E" w:rsidRDefault="00B30A7E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B30A7E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7C6EE" w14:textId="77777777" w:rsidR="00B30A7E" w:rsidRDefault="00B30A7E" w:rsidP="00B44512">
      <w:r>
        <w:separator/>
      </w:r>
    </w:p>
  </w:footnote>
  <w:footnote w:type="continuationSeparator" w:id="0">
    <w:p w14:paraId="7B6238A7" w14:textId="77777777" w:rsidR="00B30A7E" w:rsidRDefault="00B30A7E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3"/>
      <w:gridCol w:w="4437"/>
      <w:gridCol w:w="2541"/>
    </w:tblGrid>
    <w:tr w:rsidR="00FD5B99" w:rsidRPr="00991235" w14:paraId="112EB53A" w14:textId="77777777" w:rsidTr="00FD5B99">
      <w:trPr>
        <w:trHeight w:val="372"/>
      </w:trPr>
      <w:tc>
        <w:tcPr>
          <w:tcW w:w="1089" w:type="pct"/>
          <w:vMerge w:val="restart"/>
          <w:shd w:val="clear" w:color="auto" w:fill="auto"/>
          <w:vAlign w:val="center"/>
        </w:tcPr>
        <w:p w14:paraId="50B7D9A8" w14:textId="77777777" w:rsidR="00FD5B99" w:rsidRPr="00991235" w:rsidRDefault="00FD5B99" w:rsidP="00FD5B99">
          <w:pPr>
            <w:pStyle w:val="Encabezado"/>
            <w:rPr>
              <w:rFonts w:ascii="Calibri" w:hAnsi="Calibri"/>
              <w:sz w:val="16"/>
              <w:szCs w:val="16"/>
            </w:rPr>
          </w:pPr>
          <w:r w:rsidRPr="007D72D2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296AC38C" wp14:editId="7FDC8987">
                <wp:extent cx="873304" cy="556441"/>
                <wp:effectExtent l="0" t="0" r="3175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595" cy="57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7" w:type="pct"/>
          <w:vMerge w:val="restart"/>
          <w:shd w:val="clear" w:color="auto" w:fill="auto"/>
          <w:vAlign w:val="center"/>
        </w:tcPr>
        <w:p w14:paraId="3825D846" w14:textId="24AA4C64" w:rsidR="00FD5B99" w:rsidRPr="00991235" w:rsidRDefault="00FD5B99" w:rsidP="009C71E3">
          <w:pPr>
            <w:pStyle w:val="Encabezado"/>
            <w:jc w:val="center"/>
            <w:rPr>
              <w:rFonts w:cs="Arial"/>
              <w:sz w:val="16"/>
              <w:szCs w:val="16"/>
            </w:rPr>
          </w:pPr>
          <w:r w:rsidRPr="00991235">
            <w:rPr>
              <w:b/>
              <w:sz w:val="16"/>
              <w:szCs w:val="16"/>
            </w:rPr>
            <w:t xml:space="preserve">AUTO DE APERTURA DE </w:t>
          </w:r>
          <w:r>
            <w:rPr>
              <w:b/>
              <w:sz w:val="16"/>
              <w:szCs w:val="16"/>
            </w:rPr>
            <w:t xml:space="preserve">LA INDAGACIÓN </w:t>
          </w:r>
          <w:r w:rsidRPr="00991235">
            <w:rPr>
              <w:b/>
              <w:sz w:val="16"/>
              <w:szCs w:val="16"/>
            </w:rPr>
            <w:t>PRELIMINAR N° ________</w:t>
          </w:r>
        </w:p>
      </w:tc>
      <w:tc>
        <w:tcPr>
          <w:tcW w:w="1424" w:type="pct"/>
          <w:shd w:val="clear" w:color="auto" w:fill="auto"/>
          <w:vAlign w:val="center"/>
        </w:tcPr>
        <w:p w14:paraId="1EE6D1E5" w14:textId="77777777" w:rsidR="00FD5B99" w:rsidRPr="00991235" w:rsidRDefault="00FD5B99" w:rsidP="00FD5B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formato: PVCGF-</w:t>
          </w:r>
          <w:r w:rsidRPr="00991235">
            <w:rPr>
              <w:noProof/>
              <w:sz w:val="16"/>
              <w:szCs w:val="16"/>
              <w:lang w:eastAsia="es-CO"/>
            </w:rPr>
            <w:t>14</w:t>
          </w:r>
          <w:r w:rsidRPr="00991235">
            <w:rPr>
              <w:noProof/>
              <w:sz w:val="16"/>
              <w:szCs w:val="16"/>
              <w:lang w:val="es-CO" w:eastAsia="es-CO"/>
            </w:rPr>
            <w:t>-0</w:t>
          </w:r>
          <w:r w:rsidRPr="00991235">
            <w:rPr>
              <w:noProof/>
              <w:sz w:val="16"/>
              <w:szCs w:val="16"/>
              <w:lang w:eastAsia="es-CO"/>
            </w:rPr>
            <w:t>3</w:t>
          </w:r>
        </w:p>
        <w:p w14:paraId="180EF737" w14:textId="77777777" w:rsidR="00FD5B99" w:rsidRPr="00991235" w:rsidRDefault="00FD5B99" w:rsidP="00FD5B99">
          <w:pPr>
            <w:pStyle w:val="Encabezado"/>
            <w:rPr>
              <w:rFonts w:cs="Arial"/>
              <w:sz w:val="16"/>
              <w:szCs w:val="16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FD5B99" w:rsidRPr="00991235" w14:paraId="0F7A1D61" w14:textId="77777777" w:rsidTr="00FD5B99">
      <w:trPr>
        <w:trHeight w:val="406"/>
      </w:trPr>
      <w:tc>
        <w:tcPr>
          <w:tcW w:w="1089" w:type="pct"/>
          <w:vMerge/>
          <w:shd w:val="clear" w:color="auto" w:fill="auto"/>
        </w:tcPr>
        <w:p w14:paraId="47EB270B" w14:textId="77777777" w:rsidR="00FD5B99" w:rsidRPr="00991235" w:rsidRDefault="00FD5B99" w:rsidP="00FD5B99">
          <w:pPr>
            <w:pStyle w:val="Encabezado"/>
            <w:rPr>
              <w:rFonts w:ascii="Calibri" w:hAnsi="Calibri"/>
              <w:sz w:val="16"/>
              <w:szCs w:val="16"/>
            </w:rPr>
          </w:pPr>
        </w:p>
      </w:tc>
      <w:tc>
        <w:tcPr>
          <w:tcW w:w="2487" w:type="pct"/>
          <w:vMerge/>
          <w:shd w:val="clear" w:color="auto" w:fill="auto"/>
        </w:tcPr>
        <w:p w14:paraId="2345BAF2" w14:textId="77777777" w:rsidR="00FD5B99" w:rsidRPr="00991235" w:rsidRDefault="00FD5B99" w:rsidP="00FD5B99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1424" w:type="pct"/>
          <w:shd w:val="clear" w:color="auto" w:fill="auto"/>
          <w:vAlign w:val="center"/>
        </w:tcPr>
        <w:p w14:paraId="4521A99C" w14:textId="77777777" w:rsidR="00FD5B99" w:rsidRDefault="00FD5B99" w:rsidP="00FD5B99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 xml:space="preserve">Código documento: PVCGF-14 </w:t>
          </w:r>
        </w:p>
        <w:p w14:paraId="37749B64" w14:textId="77777777" w:rsidR="00FD5B99" w:rsidRPr="00991235" w:rsidRDefault="00FD5B99" w:rsidP="00FD5B99">
          <w:pPr>
            <w:pStyle w:val="Encabezado"/>
            <w:rPr>
              <w:rFonts w:cs="Arial"/>
              <w:sz w:val="16"/>
              <w:szCs w:val="16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FD5B99" w:rsidRPr="00991235" w14:paraId="7989756D" w14:textId="77777777" w:rsidTr="00FD5B99">
      <w:trPr>
        <w:trHeight w:val="240"/>
      </w:trPr>
      <w:tc>
        <w:tcPr>
          <w:tcW w:w="1089" w:type="pct"/>
          <w:vMerge/>
          <w:shd w:val="clear" w:color="auto" w:fill="auto"/>
        </w:tcPr>
        <w:p w14:paraId="5AC5C1BE" w14:textId="77777777" w:rsidR="00FD5B99" w:rsidRPr="00991235" w:rsidRDefault="00FD5B99" w:rsidP="00FD5B99">
          <w:pPr>
            <w:pStyle w:val="Encabezado"/>
            <w:rPr>
              <w:rFonts w:ascii="Calibri" w:hAnsi="Calibri"/>
              <w:sz w:val="16"/>
              <w:szCs w:val="16"/>
            </w:rPr>
          </w:pPr>
        </w:p>
      </w:tc>
      <w:tc>
        <w:tcPr>
          <w:tcW w:w="2487" w:type="pct"/>
          <w:vMerge/>
          <w:shd w:val="clear" w:color="auto" w:fill="auto"/>
        </w:tcPr>
        <w:p w14:paraId="6FA67601" w14:textId="77777777" w:rsidR="00FD5B99" w:rsidRPr="00991235" w:rsidRDefault="00FD5B99" w:rsidP="00FD5B99">
          <w:pPr>
            <w:pStyle w:val="Encabezado"/>
            <w:rPr>
              <w:rFonts w:cs="Arial"/>
              <w:sz w:val="16"/>
              <w:szCs w:val="16"/>
            </w:rPr>
          </w:pPr>
        </w:p>
      </w:tc>
      <w:tc>
        <w:tcPr>
          <w:tcW w:w="1424" w:type="pct"/>
          <w:shd w:val="clear" w:color="auto" w:fill="auto"/>
          <w:vAlign w:val="center"/>
        </w:tcPr>
        <w:p w14:paraId="6009F85A" w14:textId="21FE71B8" w:rsidR="00FD5B99" w:rsidRPr="00EF4A04" w:rsidRDefault="00EF4A04" w:rsidP="00FD5B99">
          <w:pPr>
            <w:pStyle w:val="Encabezado"/>
            <w:rPr>
              <w:rFonts w:cs="Arial"/>
              <w:sz w:val="16"/>
              <w:szCs w:val="16"/>
            </w:rPr>
          </w:pPr>
          <w:r w:rsidRPr="00EF4A04">
            <w:rPr>
              <w:rFonts w:cs="Arial"/>
              <w:sz w:val="16"/>
            </w:rPr>
            <w:t xml:space="preserve">Página </w:t>
          </w:r>
          <w:r w:rsidRPr="00EF4A04">
            <w:rPr>
              <w:rStyle w:val="Nmerodepgina"/>
              <w:rFonts w:cs="Arial"/>
              <w:sz w:val="16"/>
            </w:rPr>
            <w:fldChar w:fldCharType="begin"/>
          </w:r>
          <w:r w:rsidRPr="00EF4A04">
            <w:rPr>
              <w:rStyle w:val="Nmerodepgina"/>
              <w:rFonts w:cs="Arial"/>
              <w:sz w:val="16"/>
            </w:rPr>
            <w:instrText xml:space="preserve"> PAGE </w:instrText>
          </w:r>
          <w:r w:rsidRPr="00EF4A04">
            <w:rPr>
              <w:rStyle w:val="Nmerodepgina"/>
              <w:rFonts w:cs="Arial"/>
              <w:sz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</w:rPr>
            <w:t>2</w:t>
          </w:r>
          <w:r w:rsidRPr="00EF4A04">
            <w:rPr>
              <w:rStyle w:val="Nmerodepgina"/>
              <w:rFonts w:cs="Arial"/>
              <w:sz w:val="16"/>
            </w:rPr>
            <w:fldChar w:fldCharType="end"/>
          </w:r>
          <w:r w:rsidRPr="00EF4A04">
            <w:rPr>
              <w:rFonts w:cs="Arial"/>
              <w:sz w:val="16"/>
            </w:rPr>
            <w:t xml:space="preserve"> de </w:t>
          </w:r>
          <w:r w:rsidRPr="00EF4A04">
            <w:rPr>
              <w:rFonts w:cs="Arial"/>
              <w:sz w:val="16"/>
            </w:rPr>
            <w:fldChar w:fldCharType="begin"/>
          </w:r>
          <w:r w:rsidRPr="00EF4A04">
            <w:rPr>
              <w:rFonts w:cs="Arial"/>
              <w:sz w:val="16"/>
            </w:rPr>
            <w:instrText xml:space="preserve"> NUMPAGES </w:instrText>
          </w:r>
          <w:r w:rsidRPr="00EF4A04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2</w:t>
          </w:r>
          <w:r w:rsidRPr="00EF4A04">
            <w:rPr>
              <w:rFonts w:cs="Arial"/>
              <w:sz w:val="16"/>
            </w:rPr>
            <w:fldChar w:fldCharType="end"/>
          </w:r>
        </w:p>
      </w:tc>
    </w:tr>
  </w:tbl>
  <w:p w14:paraId="747186DF" w14:textId="77777777" w:rsidR="00C323AA" w:rsidRDefault="00C323AA">
    <w:pPr>
      <w:pStyle w:val="Encabezado"/>
    </w:pPr>
  </w:p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376E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5789D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C5C94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C71E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0A7E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D23BB"/>
    <w:rsid w:val="00ED2F9B"/>
    <w:rsid w:val="00ED64C4"/>
    <w:rsid w:val="00EE4440"/>
    <w:rsid w:val="00EE7D96"/>
    <w:rsid w:val="00EF1AA0"/>
    <w:rsid w:val="00EF4159"/>
    <w:rsid w:val="00EF4A04"/>
    <w:rsid w:val="00EF706C"/>
    <w:rsid w:val="00EF7D51"/>
    <w:rsid w:val="00F04D02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5643F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D5B99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80A1-9CD4-4F39-8F5E-824E59D9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6</cp:revision>
  <cp:lastPrinted>2020-11-05T14:24:00Z</cp:lastPrinted>
  <dcterms:created xsi:type="dcterms:W3CDTF">2020-11-12T02:07:00Z</dcterms:created>
  <dcterms:modified xsi:type="dcterms:W3CDTF">2020-11-12T03:21:00Z</dcterms:modified>
</cp:coreProperties>
</file>